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30398">
      <w:pPr>
        <w:tabs>
          <w:tab w:val="right" w:pos="9800"/>
        </w:tabs>
        <w:spacing w:after="60"/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>
        <w:rPr>
          <w:rFonts w:ascii="Arial" w:hAnsi="Arial" w:cs="Arial"/>
          <w:b/>
          <w:bCs/>
          <w:sz w:val="24"/>
        </w:rPr>
        <w:t>3GPP TSG-</w:t>
      </w:r>
      <w:r>
        <w:rPr>
          <w:rFonts w:hint="eastAsia"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hint="eastAsia"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hint="eastAsia"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70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50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7010</w:t>
      </w:r>
    </w:p>
    <w:p w14:paraId="0ABDA601">
      <w:pPr>
        <w:pBdr>
          <w:bottom w:val="single" w:color="auto" w:sz="12" w:space="1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>
        <w:rPr>
          <w:rFonts w:ascii="Arial" w:hAnsi="Arial" w:cs="Arial"/>
          <w:b/>
          <w:sz w:val="24"/>
          <w:lang w:eastAsia="zh-CN"/>
        </w:rPr>
        <w:t>, Aug 25 – 29, 2025</w:t>
      </w:r>
    </w:p>
    <w:bookmarkEnd w:id="0"/>
    <w:bookmarkEnd w:id="1"/>
    <w:p w14:paraId="2896284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2394740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Architectural Assumptions</w:t>
      </w:r>
    </w:p>
    <w:p w14:paraId="11330B0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</w:t>
      </w:r>
      <w:r>
        <w:rPr>
          <w:rFonts w:hint="eastAsia" w:ascii="Arial" w:hAnsi="Arial" w:cs="Arial"/>
          <w:b/>
          <w:lang w:eastAsia="zh-CN"/>
        </w:rPr>
        <w:t>pproval</w:t>
      </w:r>
    </w:p>
    <w:p w14:paraId="6E3ADC03"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20.5.1</w:t>
      </w:r>
    </w:p>
    <w:p w14:paraId="63176270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FS_AmbientIoT_ARC_Ph2/ Rel-20</w:t>
      </w:r>
    </w:p>
    <w:p w14:paraId="0C0DFD0B">
      <w:pPr>
        <w:rPr>
          <w:rFonts w:hint="eastAsia" w:ascii="Arial" w:hAnsi="Arial" w:eastAsia="宋体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hint="eastAsia" w:ascii="Arial" w:hAnsi="Arial" w:cs="Arial"/>
          <w:i/>
          <w:lang w:eastAsia="zh-CN"/>
        </w:rPr>
        <w:t xml:space="preserve"> proposes</w:t>
      </w:r>
      <w:r>
        <w:rPr>
          <w:rFonts w:hint="eastAsia" w:ascii="Arial" w:hAnsi="Arial" w:cs="Arial"/>
          <w:i/>
        </w:rPr>
        <w:t xml:space="preserve"> </w:t>
      </w:r>
      <w:r>
        <w:rPr>
          <w:rFonts w:ascii="Arial" w:hAnsi="Arial" w:cs="Arial"/>
          <w:i/>
        </w:rPr>
        <w:t>addressing the architectural assumptions</w:t>
      </w:r>
      <w:r>
        <w:rPr>
          <w:rFonts w:hint="eastAsia" w:ascii="Arial" w:hAnsi="Arial" w:cs="Arial"/>
          <w:i/>
          <w:lang w:val="en-US" w:eastAsia="zh-CN"/>
        </w:rPr>
        <w:t>.</w:t>
      </w:r>
      <w:bookmarkStart w:id="34" w:name="_GoBack"/>
      <w:bookmarkEnd w:id="34"/>
    </w:p>
    <w:p w14:paraId="0FB1427A">
      <w:pPr>
        <w:pStyle w:val="2"/>
      </w:pPr>
      <w:r>
        <w:rPr>
          <w:rFonts w:hint="eastAsia"/>
        </w:rPr>
        <w:t>Discussion</w:t>
      </w:r>
    </w:p>
    <w:p w14:paraId="3FB19EB1">
      <w:pPr>
        <w:pStyle w:val="8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FS_AmbientIoT_ARC_Ph2 SID was approved with the following: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214A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3494A226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The work tasks are:</w:t>
            </w:r>
          </w:p>
          <w:p w14:paraId="451D5203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WT#1: Study the support of AIoT services in Topology 2, including:</w:t>
            </w:r>
          </w:p>
          <w:p w14:paraId="10E01E80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 xml:space="preserve"> Study and investigate how to support AIoT services under the RRC-based option for UE Reader connectivity.</w:t>
            </w:r>
          </w:p>
          <w:p w14:paraId="00FECD13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NOTE 3: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Rel-19 TR solution and interim conclusion should be used as basis for rel-20 work. Solution submitted to rel-20 need to align with rel-19 TR interim conclusion. No rel-19 AIoT Device impact from this WT is expected.</w:t>
            </w:r>
          </w:p>
          <w:p w14:paraId="4A0E0AB3">
            <w:pPr>
              <w:pStyle w:val="76"/>
              <w:rPr>
                <w:b/>
                <w:bCs/>
                <w:lang w:eastAsia="ja-JP"/>
              </w:rPr>
            </w:pPr>
          </w:p>
          <w:p w14:paraId="17BD42BB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WT#2: Study the support of DO-A Capable AIoT Devices, including:</w:t>
            </w:r>
          </w:p>
          <w:p w14:paraId="52B5CCBC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Support of the AIoT Device informing the network of its presence autonomously (e.g., an AIoT Device initiated registration-like procedure).</w:t>
            </w:r>
          </w:p>
          <w:p w14:paraId="237C291B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Support for an autonomous AIoT Device originated procedure to send data to the AIOTF, and support for routing the received data by AIOTF.</w:t>
            </w:r>
          </w:p>
          <w:p w14:paraId="6D41BE5B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-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Naiotf and Nnef interface enhancements to provide the data received from an AIoT Device to the AF.</w:t>
            </w:r>
          </w:p>
          <w:p w14:paraId="6833AB94">
            <w:pPr>
              <w:pStyle w:val="7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NOTE 4:</w:t>
            </w:r>
            <w:r>
              <w:rPr>
                <w:b/>
                <w:bCs/>
                <w:lang w:eastAsia="ja-JP"/>
              </w:rPr>
              <w:tab/>
            </w:r>
            <w:r>
              <w:rPr>
                <w:b/>
                <w:bCs/>
                <w:lang w:eastAsia="ja-JP"/>
              </w:rPr>
              <w:t>topology 2 aspect of WT#2 has dependency on WT#1.</w:t>
            </w:r>
          </w:p>
        </w:tc>
      </w:tr>
    </w:tbl>
    <w:p w14:paraId="64061619">
      <w:pPr>
        <w:pStyle w:val="82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T</w:t>
      </w:r>
      <w:r>
        <w:rPr>
          <w:rFonts w:ascii="Times New Roman" w:hAnsi="Times New Roman"/>
          <w:lang w:eastAsia="zh-CN"/>
        </w:rPr>
        <w:t>his paper proposes to address the architectural assumptions.</w:t>
      </w:r>
    </w:p>
    <w:p w14:paraId="148FE0A2">
      <w:pPr>
        <w:pStyle w:val="2"/>
      </w:pPr>
      <w:r>
        <w:t>2</w:t>
      </w:r>
      <w:r>
        <w:tab/>
      </w:r>
      <w:r>
        <w:t>Proposal</w:t>
      </w:r>
    </w:p>
    <w:p w14:paraId="1E4EF2BF">
      <w:pPr>
        <w:rPr>
          <w:lang w:val="en-US"/>
        </w:rPr>
      </w:pPr>
      <w:r>
        <w:rPr>
          <w:lang w:val="en-US"/>
        </w:rPr>
        <w:t>It is proposed to agree on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</w:t>
      </w:r>
      <w:r>
        <w:t>23.700-30 v0.0.0</w:t>
      </w:r>
      <w:r>
        <w:rPr>
          <w:lang w:val="en-US"/>
        </w:rPr>
        <w:t>.</w:t>
      </w:r>
    </w:p>
    <w:p w14:paraId="6E302C6A">
      <w:pPr>
        <w:rPr>
          <w:lang w:val="en-US"/>
        </w:rPr>
      </w:pPr>
    </w:p>
    <w:p w14:paraId="25BD46A9">
      <w:pPr>
        <w:rPr>
          <w:lang w:val="en-US"/>
        </w:rPr>
      </w:pPr>
    </w:p>
    <w:p w14:paraId="37E6E142">
      <w:pPr>
        <w:rPr>
          <w:lang w:val="en-US"/>
        </w:rPr>
      </w:pPr>
    </w:p>
    <w:p w14:paraId="0936DD3B">
      <w:pPr>
        <w:rPr>
          <w:lang w:val="en-US"/>
        </w:rPr>
      </w:pPr>
    </w:p>
    <w:p w14:paraId="469B6DB8">
      <w:pPr>
        <w:rPr>
          <w:lang w:val="en-US"/>
        </w:rPr>
      </w:pPr>
    </w:p>
    <w:p w14:paraId="7BA7B902">
      <w:pPr>
        <w:rPr>
          <w:lang w:val="en-US"/>
        </w:rPr>
      </w:pPr>
    </w:p>
    <w:p w14:paraId="421887C8">
      <w:pPr>
        <w:rPr>
          <w:lang w:val="en-US"/>
        </w:rPr>
      </w:pPr>
    </w:p>
    <w:p w14:paraId="0C65BE3B">
      <w:pPr>
        <w:rPr>
          <w:lang w:val="en-US"/>
        </w:rPr>
      </w:pPr>
    </w:p>
    <w:p w14:paraId="52C94D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(all new)* * * *</w:t>
      </w:r>
    </w:p>
    <w:p w14:paraId="0F7DDFDC">
      <w:pPr>
        <w:pStyle w:val="2"/>
      </w:pPr>
      <w:bookmarkStart w:id="2" w:name="_Toc153792585"/>
      <w:bookmarkStart w:id="3" w:name="_Toc153792670"/>
      <w:bookmarkStart w:id="4" w:name="_Toc164944536"/>
      <w:bookmarkStart w:id="5" w:name="_Toc160698583"/>
      <w:bookmarkStart w:id="6" w:name="_Toc164843901"/>
      <w:bookmarkStart w:id="7" w:name="_Toc168318786"/>
      <w:bookmarkStart w:id="8" w:name="_Toc168319304"/>
      <w:bookmarkStart w:id="9" w:name="_Toc168319557"/>
      <w:bookmarkStart w:id="10" w:name="_Toc168319812"/>
      <w:bookmarkStart w:id="11" w:name="_Toc157661572"/>
      <w:bookmarkStart w:id="12" w:name="_Toc168559723"/>
      <w:bookmarkStart w:id="13" w:name="_Toc183616654"/>
      <w:bookmarkStart w:id="14" w:name="_Toc193803246"/>
      <w:bookmarkStart w:id="15" w:name="_Toc168320067"/>
      <w:bookmarkStart w:id="16" w:name="_Toc175890773"/>
      <w:bookmarkStart w:id="17" w:name="_Toc180645721"/>
      <w:r>
        <w:t>4</w:t>
      </w:r>
      <w:r>
        <w:tab/>
      </w:r>
      <w:r>
        <w:t>Architectural Assumptions and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01B690">
      <w:pPr>
        <w:pStyle w:val="3"/>
      </w:pPr>
      <w:bookmarkStart w:id="18" w:name="_Toc153792586"/>
      <w:bookmarkStart w:id="19" w:name="_Toc157661573"/>
      <w:bookmarkStart w:id="20" w:name="_Toc153792671"/>
      <w:bookmarkStart w:id="21" w:name="_Toc160698584"/>
      <w:bookmarkStart w:id="22" w:name="_Toc168318787"/>
      <w:bookmarkStart w:id="23" w:name="_Toc168319558"/>
      <w:bookmarkStart w:id="24" w:name="_Toc164944537"/>
      <w:bookmarkStart w:id="25" w:name="_Toc168319813"/>
      <w:bookmarkStart w:id="26" w:name="_Toc168319305"/>
      <w:bookmarkStart w:id="27" w:name="_Toc168320068"/>
      <w:bookmarkStart w:id="28" w:name="_Toc168559724"/>
      <w:bookmarkStart w:id="29" w:name="_Toc183616655"/>
      <w:bookmarkStart w:id="30" w:name="_Toc175890774"/>
      <w:bookmarkStart w:id="31" w:name="_Toc180645722"/>
      <w:bookmarkStart w:id="32" w:name="_Toc193803247"/>
      <w:bookmarkStart w:id="33" w:name="_Toc164843902"/>
      <w:r>
        <w:t>4.1</w:t>
      </w:r>
      <w:r>
        <w:tab/>
      </w:r>
      <w:r>
        <w:t>Architectural Assumptions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BC5A2A1">
      <w:pPr>
        <w:pStyle w:val="76"/>
      </w:pPr>
      <w:r>
        <w:rPr>
          <w:rFonts w:hint="eastAsia" w:eastAsia="等线"/>
          <w:lang w:eastAsia="zh-CN"/>
        </w:rPr>
        <w:t>-</w:t>
      </w:r>
      <w:r>
        <w:rPr>
          <w:lang w:val="en-US"/>
        </w:rPr>
        <w:tab/>
      </w:r>
      <w:r>
        <w:t>The following traffic types for Ambient IoT Device are to be studied:</w:t>
      </w:r>
    </w:p>
    <w:p w14:paraId="27FCDF1E">
      <w:pPr>
        <w:pStyle w:val="77"/>
      </w:pPr>
      <w:r>
        <w:rPr>
          <w:rFonts w:hint="eastAsia" w:eastAsia="等线"/>
          <w:lang w:eastAsia="zh-CN"/>
        </w:rPr>
        <w:t>-</w:t>
      </w:r>
      <w:r>
        <w:rPr>
          <w:lang w:val="en-US"/>
        </w:rPr>
        <w:tab/>
      </w:r>
      <w:r>
        <w:t>DT: Device-terminated; and</w:t>
      </w:r>
    </w:p>
    <w:p w14:paraId="2B085991">
      <w:pPr>
        <w:pStyle w:val="77"/>
      </w:pPr>
      <w:r>
        <w:rPr>
          <w:rFonts w:hint="eastAsia" w:eastAsia="等线"/>
          <w:lang w:eastAsia="zh-CN"/>
        </w:rPr>
        <w:t>-</w:t>
      </w:r>
      <w:r>
        <w:rPr>
          <w:lang w:val="en-US"/>
        </w:rPr>
        <w:tab/>
      </w:r>
      <w:r>
        <w:t>DO-DTT: Device-originated - device-terminated triggered; and</w:t>
      </w:r>
    </w:p>
    <w:p w14:paraId="015BFCA5">
      <w:pPr>
        <w:pStyle w:val="77"/>
      </w:pPr>
      <w:r>
        <w:t>-     DO-A: Device-originated – autonomous.</w:t>
      </w:r>
    </w:p>
    <w:p w14:paraId="7A60D714">
      <w:pPr>
        <w:pStyle w:val="57"/>
      </w:pPr>
      <w:r>
        <w:t>NOTE 1:</w:t>
      </w:r>
      <w:r>
        <w:tab/>
      </w:r>
      <w:r>
        <w:t>DT and DO-DTT types of AIoT devices are studied in the WT#1. DO-A type of AIoT device is studied in the WT#2.</w:t>
      </w:r>
    </w:p>
    <w:p w14:paraId="75BA3047">
      <w:pPr>
        <w:pStyle w:val="76"/>
        <w:rPr>
          <w:lang w:val="en-US"/>
        </w:rPr>
      </w:pPr>
      <w:r>
        <w:t>-</w:t>
      </w:r>
      <w:r>
        <w:rPr>
          <w:lang w:val="en-US"/>
        </w:rPr>
        <w:tab/>
      </w:r>
      <w:r>
        <w:rPr>
          <w:lang w:val="en-US"/>
        </w:rPr>
        <w:t>An AIoT device with DO-A capability is with UICC.</w:t>
      </w:r>
    </w:p>
    <w:p w14:paraId="69D1F796">
      <w:pPr>
        <w:pStyle w:val="76"/>
        <w:rPr>
          <w:lang w:val="en-US"/>
        </w:rPr>
      </w:pPr>
      <w:r>
        <w:t>-</w:t>
      </w:r>
      <w:r>
        <w:rPr>
          <w:lang w:val="en-US"/>
        </w:rPr>
        <w:tab/>
      </w:r>
      <w:r>
        <w:rPr>
          <w:lang w:val="en-US"/>
        </w:rPr>
        <w:t>An AIoT device with DO-A capability connects with PLMN.</w:t>
      </w:r>
    </w:p>
    <w:p w14:paraId="713FA266">
      <w:pPr>
        <w:pStyle w:val="76"/>
        <w:rPr>
          <w:lang w:val="en-US"/>
        </w:rPr>
      </w:pPr>
      <w:r>
        <w:rPr>
          <w:lang w:val="en-US"/>
        </w:rPr>
        <w:t>-    A NG-RAN reader connects with the AIOTF indirectly (e.g., via AMF).</w:t>
      </w:r>
    </w:p>
    <w:p w14:paraId="1E27BE3F">
      <w:pPr>
        <w:pStyle w:val="76"/>
        <w:rPr>
          <w:lang w:val="en-US" w:eastAsia="zh-CN"/>
        </w:rPr>
      </w:pPr>
      <w:r>
        <w:t>-</w:t>
      </w:r>
      <w:r>
        <w:rPr>
          <w:lang w:val="en-US"/>
        </w:rPr>
        <w:tab/>
      </w:r>
      <w:r>
        <w:rPr>
          <w:lang w:val="en-US"/>
        </w:rPr>
        <w:t>The communication spectrum is assumed to be licensed.</w:t>
      </w:r>
    </w:p>
    <w:p w14:paraId="48E2F084">
      <w:pPr>
        <w:pStyle w:val="57"/>
      </w:pPr>
      <w:r>
        <w:t xml:space="preserve">NOTE 2: </w:t>
      </w:r>
      <w:r>
        <w:tab/>
      </w:r>
      <w:r>
        <w:t>Coordination with RAN is required to determine the Ambient IoT Device capabilities in relation to system level of functionality (considering e.g. traffic scenarios, connectivity topologies etc.).</w:t>
      </w:r>
    </w:p>
    <w:p w14:paraId="4531CF8B">
      <w:pPr>
        <w:pStyle w:val="57"/>
      </w:pPr>
      <w:r>
        <w:rPr>
          <w:rFonts w:hint="eastAsia"/>
        </w:rPr>
        <w:t>N</w:t>
      </w:r>
      <w:r>
        <w:t>OTE 3:</w:t>
      </w:r>
      <w:r>
        <w:tab/>
      </w:r>
      <w:r>
        <w:t xml:space="preserve">The security aspects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>
        <w:t>require coordination with SA WG3.</w:t>
      </w:r>
    </w:p>
    <w:p w14:paraId="22F3EE4D">
      <w:pPr>
        <w:pStyle w:val="57"/>
        <w:rPr>
          <w:lang w:val="en-US" w:eastAsia="zh-CN"/>
        </w:rPr>
      </w:pPr>
      <w:r>
        <w:rPr>
          <w:rFonts w:hint="eastAsia"/>
        </w:rPr>
        <w:t>N</w:t>
      </w:r>
      <w:r>
        <w:t>OTE 4:</w:t>
      </w:r>
      <w:r>
        <w:tab/>
      </w:r>
      <w:r>
        <w:t>The charging</w:t>
      </w:r>
      <w:r>
        <w:rPr>
          <w:lang w:val="en-US" w:eastAsia="zh-CN"/>
        </w:rPr>
        <w:t xml:space="preserve"> aspects for</w:t>
      </w:r>
      <w:r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5A9A86A0">
      <w:pPr>
        <w:pStyle w:val="76"/>
        <w:rPr>
          <w:lang w:eastAsia="zh-CN"/>
        </w:rPr>
      </w:pPr>
    </w:p>
    <w:p w14:paraId="2329396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4CFD6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121E"/>
    <w:rsid w:val="00074BA2"/>
    <w:rsid w:val="000756AE"/>
    <w:rsid w:val="0007625C"/>
    <w:rsid w:val="000828A0"/>
    <w:rsid w:val="00085747"/>
    <w:rsid w:val="0008740A"/>
    <w:rsid w:val="000906E9"/>
    <w:rsid w:val="00091760"/>
    <w:rsid w:val="0009278B"/>
    <w:rsid w:val="000930F1"/>
    <w:rsid w:val="000934B5"/>
    <w:rsid w:val="000951B4"/>
    <w:rsid w:val="000A02DB"/>
    <w:rsid w:val="000B019A"/>
    <w:rsid w:val="000B57A1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0CC7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50E8"/>
    <w:rsid w:val="0014711F"/>
    <w:rsid w:val="00147DC0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84E8B"/>
    <w:rsid w:val="001A0BD7"/>
    <w:rsid w:val="001A317E"/>
    <w:rsid w:val="001A3726"/>
    <w:rsid w:val="001A48C3"/>
    <w:rsid w:val="001B3924"/>
    <w:rsid w:val="001B4BC3"/>
    <w:rsid w:val="001B572D"/>
    <w:rsid w:val="001C41C0"/>
    <w:rsid w:val="001C63F2"/>
    <w:rsid w:val="001D283C"/>
    <w:rsid w:val="001D6808"/>
    <w:rsid w:val="001E1EF1"/>
    <w:rsid w:val="001E2A61"/>
    <w:rsid w:val="001E3586"/>
    <w:rsid w:val="001E41F3"/>
    <w:rsid w:val="001E5A1C"/>
    <w:rsid w:val="001F4102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5A9B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2BAD"/>
    <w:rsid w:val="002633CD"/>
    <w:rsid w:val="0026419A"/>
    <w:rsid w:val="0026641C"/>
    <w:rsid w:val="00266F06"/>
    <w:rsid w:val="00275D12"/>
    <w:rsid w:val="002769F4"/>
    <w:rsid w:val="00281C34"/>
    <w:rsid w:val="0028267E"/>
    <w:rsid w:val="00285E65"/>
    <w:rsid w:val="002874EE"/>
    <w:rsid w:val="00292037"/>
    <w:rsid w:val="00295BB9"/>
    <w:rsid w:val="00296295"/>
    <w:rsid w:val="002A5B8C"/>
    <w:rsid w:val="002B1F0E"/>
    <w:rsid w:val="002B272F"/>
    <w:rsid w:val="002B38EA"/>
    <w:rsid w:val="002B5890"/>
    <w:rsid w:val="002B6932"/>
    <w:rsid w:val="002B6DFC"/>
    <w:rsid w:val="002C4210"/>
    <w:rsid w:val="002D03AD"/>
    <w:rsid w:val="002E138F"/>
    <w:rsid w:val="002E314B"/>
    <w:rsid w:val="002E677D"/>
    <w:rsid w:val="002E73C5"/>
    <w:rsid w:val="002E76C7"/>
    <w:rsid w:val="002F005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355D2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3FBA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E90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4885"/>
    <w:rsid w:val="00416169"/>
    <w:rsid w:val="004164CA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44C6"/>
    <w:rsid w:val="00436054"/>
    <w:rsid w:val="00436BAB"/>
    <w:rsid w:val="00437FD5"/>
    <w:rsid w:val="00441836"/>
    <w:rsid w:val="00441E75"/>
    <w:rsid w:val="00445B95"/>
    <w:rsid w:val="00446E16"/>
    <w:rsid w:val="00451EAC"/>
    <w:rsid w:val="00454286"/>
    <w:rsid w:val="004543B0"/>
    <w:rsid w:val="00455C18"/>
    <w:rsid w:val="00456CE9"/>
    <w:rsid w:val="0046095D"/>
    <w:rsid w:val="0046152F"/>
    <w:rsid w:val="0046362B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38C5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5145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1A15"/>
    <w:rsid w:val="005027F4"/>
    <w:rsid w:val="00505FA8"/>
    <w:rsid w:val="0050780D"/>
    <w:rsid w:val="00510DA1"/>
    <w:rsid w:val="005113C4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54A9"/>
    <w:rsid w:val="00546BAB"/>
    <w:rsid w:val="005503CD"/>
    <w:rsid w:val="00550C60"/>
    <w:rsid w:val="00550DC8"/>
    <w:rsid w:val="005553EE"/>
    <w:rsid w:val="00555A2C"/>
    <w:rsid w:val="00555F90"/>
    <w:rsid w:val="00561167"/>
    <w:rsid w:val="00563633"/>
    <w:rsid w:val="005660BD"/>
    <w:rsid w:val="00567472"/>
    <w:rsid w:val="00567FC9"/>
    <w:rsid w:val="00571A2E"/>
    <w:rsid w:val="005726FA"/>
    <w:rsid w:val="00573DD0"/>
    <w:rsid w:val="00576A41"/>
    <w:rsid w:val="00580618"/>
    <w:rsid w:val="00582CB2"/>
    <w:rsid w:val="00585A3E"/>
    <w:rsid w:val="0058703A"/>
    <w:rsid w:val="00587BD8"/>
    <w:rsid w:val="0059050C"/>
    <w:rsid w:val="0059781F"/>
    <w:rsid w:val="005A1A29"/>
    <w:rsid w:val="005A3F92"/>
    <w:rsid w:val="005A49B7"/>
    <w:rsid w:val="005A634A"/>
    <w:rsid w:val="005A6667"/>
    <w:rsid w:val="005B1361"/>
    <w:rsid w:val="005B5D33"/>
    <w:rsid w:val="005B62CC"/>
    <w:rsid w:val="005C059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9AB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0D99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4DF3"/>
    <w:rsid w:val="006957B1"/>
    <w:rsid w:val="00696627"/>
    <w:rsid w:val="006A00A9"/>
    <w:rsid w:val="006A0945"/>
    <w:rsid w:val="006A09DA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3C91"/>
    <w:rsid w:val="00705FF0"/>
    <w:rsid w:val="00706126"/>
    <w:rsid w:val="007067A7"/>
    <w:rsid w:val="00706C77"/>
    <w:rsid w:val="00707187"/>
    <w:rsid w:val="00707910"/>
    <w:rsid w:val="00712E51"/>
    <w:rsid w:val="00713847"/>
    <w:rsid w:val="007161D2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98F"/>
    <w:rsid w:val="00743EF2"/>
    <w:rsid w:val="007454CA"/>
    <w:rsid w:val="007468C3"/>
    <w:rsid w:val="007479F4"/>
    <w:rsid w:val="00751865"/>
    <w:rsid w:val="007535A5"/>
    <w:rsid w:val="00756D21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513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192"/>
    <w:rsid w:val="00861D2C"/>
    <w:rsid w:val="00863BF6"/>
    <w:rsid w:val="00867873"/>
    <w:rsid w:val="00870658"/>
    <w:rsid w:val="00870794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9AF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4B9"/>
    <w:rsid w:val="00930E04"/>
    <w:rsid w:val="00935659"/>
    <w:rsid w:val="00937AB5"/>
    <w:rsid w:val="00941F45"/>
    <w:rsid w:val="009432A3"/>
    <w:rsid w:val="009533A8"/>
    <w:rsid w:val="009534F4"/>
    <w:rsid w:val="00957D6A"/>
    <w:rsid w:val="00960F9E"/>
    <w:rsid w:val="0096107C"/>
    <w:rsid w:val="00963F6C"/>
    <w:rsid w:val="00980153"/>
    <w:rsid w:val="0098295E"/>
    <w:rsid w:val="00982FD7"/>
    <w:rsid w:val="00984604"/>
    <w:rsid w:val="009937EF"/>
    <w:rsid w:val="009947C8"/>
    <w:rsid w:val="00994EAA"/>
    <w:rsid w:val="0099502D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07FCF"/>
    <w:rsid w:val="00A11982"/>
    <w:rsid w:val="00A133DB"/>
    <w:rsid w:val="00A16CE5"/>
    <w:rsid w:val="00A20321"/>
    <w:rsid w:val="00A209CB"/>
    <w:rsid w:val="00A2154C"/>
    <w:rsid w:val="00A223DE"/>
    <w:rsid w:val="00A27FE2"/>
    <w:rsid w:val="00A3381A"/>
    <w:rsid w:val="00A33C14"/>
    <w:rsid w:val="00A34111"/>
    <w:rsid w:val="00A3669C"/>
    <w:rsid w:val="00A4185A"/>
    <w:rsid w:val="00A45459"/>
    <w:rsid w:val="00A46E15"/>
    <w:rsid w:val="00A471F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565F"/>
    <w:rsid w:val="00A77649"/>
    <w:rsid w:val="00A81871"/>
    <w:rsid w:val="00A823B2"/>
    <w:rsid w:val="00A8322D"/>
    <w:rsid w:val="00A8394A"/>
    <w:rsid w:val="00A858CC"/>
    <w:rsid w:val="00A85D93"/>
    <w:rsid w:val="00A90FA9"/>
    <w:rsid w:val="00A924E2"/>
    <w:rsid w:val="00A966D0"/>
    <w:rsid w:val="00AA4A2C"/>
    <w:rsid w:val="00AA7124"/>
    <w:rsid w:val="00AB1F02"/>
    <w:rsid w:val="00AB630E"/>
    <w:rsid w:val="00AB6534"/>
    <w:rsid w:val="00AC4BBE"/>
    <w:rsid w:val="00AC5558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3E8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6072"/>
    <w:rsid w:val="00AF7054"/>
    <w:rsid w:val="00AF7BA0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525B"/>
    <w:rsid w:val="00B3716C"/>
    <w:rsid w:val="00B42909"/>
    <w:rsid w:val="00B42E9F"/>
    <w:rsid w:val="00B43F18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96893"/>
    <w:rsid w:val="00BA30F8"/>
    <w:rsid w:val="00BA6456"/>
    <w:rsid w:val="00BB5DFC"/>
    <w:rsid w:val="00BB6003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2D8"/>
    <w:rsid w:val="00C21836"/>
    <w:rsid w:val="00C21C78"/>
    <w:rsid w:val="00C22D80"/>
    <w:rsid w:val="00C23B35"/>
    <w:rsid w:val="00C3047D"/>
    <w:rsid w:val="00C33F57"/>
    <w:rsid w:val="00C35B9B"/>
    <w:rsid w:val="00C36520"/>
    <w:rsid w:val="00C366A3"/>
    <w:rsid w:val="00C37213"/>
    <w:rsid w:val="00C3760C"/>
    <w:rsid w:val="00C40B89"/>
    <w:rsid w:val="00C41CA0"/>
    <w:rsid w:val="00C426D3"/>
    <w:rsid w:val="00C426FC"/>
    <w:rsid w:val="00C432F6"/>
    <w:rsid w:val="00C46EA9"/>
    <w:rsid w:val="00C470F1"/>
    <w:rsid w:val="00C50094"/>
    <w:rsid w:val="00C5013F"/>
    <w:rsid w:val="00C5151F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23CD"/>
    <w:rsid w:val="00C8383D"/>
    <w:rsid w:val="00C85080"/>
    <w:rsid w:val="00C90243"/>
    <w:rsid w:val="00C925AD"/>
    <w:rsid w:val="00C93645"/>
    <w:rsid w:val="00C948A1"/>
    <w:rsid w:val="00C953E5"/>
    <w:rsid w:val="00C95985"/>
    <w:rsid w:val="00C95C66"/>
    <w:rsid w:val="00C96EAE"/>
    <w:rsid w:val="00CA0E4D"/>
    <w:rsid w:val="00CA1960"/>
    <w:rsid w:val="00CA2945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E66DD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6C0E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E4E"/>
    <w:rsid w:val="00D62FFF"/>
    <w:rsid w:val="00D65026"/>
    <w:rsid w:val="00D65C93"/>
    <w:rsid w:val="00D67B27"/>
    <w:rsid w:val="00D72EC6"/>
    <w:rsid w:val="00D755F3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7962"/>
    <w:rsid w:val="00DC0A3D"/>
    <w:rsid w:val="00DC408B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069F2"/>
    <w:rsid w:val="00E114AD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11E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5417"/>
    <w:rsid w:val="00F461AB"/>
    <w:rsid w:val="00F47DF9"/>
    <w:rsid w:val="00F52BCE"/>
    <w:rsid w:val="00F5389E"/>
    <w:rsid w:val="00F553D0"/>
    <w:rsid w:val="00F56AA3"/>
    <w:rsid w:val="00F65C68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0B3C"/>
    <w:rsid w:val="00FF4F61"/>
    <w:rsid w:val="00FF777A"/>
    <w:rsid w:val="21A21DA1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2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link w:val="95"/>
    <w:qFormat/>
    <w:uiPriority w:val="0"/>
  </w:style>
  <w:style w:type="paragraph" w:customStyle="1" w:styleId="78">
    <w:name w:val="B3"/>
    <w:basedOn w:val="12"/>
    <w:link w:val="96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6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1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4">
    <w:name w:val="Editor's Note Char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3 C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TAN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Editor's Note Char"/>
    <w:qFormat/>
    <w:uiPriority w:val="0"/>
    <w:rPr>
      <w:color w:val="FF0000"/>
      <w:lang w:eastAsia="en-US"/>
    </w:rPr>
  </w:style>
  <w:style w:type="character" w:customStyle="1" w:styleId="99">
    <w:name w:val="B3 Char2"/>
    <w:qFormat/>
    <w:uiPriority w:val="0"/>
    <w:rPr>
      <w:rFonts w:eastAsia="Times New Roman"/>
      <w:lang w:val="en-GB" w:eastAsia="en-GB"/>
    </w:rPr>
  </w:style>
  <w:style w:type="paragraph" w:customStyle="1" w:styleId="10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NO Char"/>
    <w:qFormat/>
    <w:uiPriority w:val="0"/>
    <w:rPr>
      <w:lang w:val="en-GB" w:eastAsia="en-GB"/>
    </w:rPr>
  </w:style>
  <w:style w:type="character" w:customStyle="1" w:styleId="103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5">
    <w:name w:val="List Paragraph"/>
    <w:basedOn w:val="1"/>
    <w:link w:val="106"/>
    <w:qFormat/>
    <w:uiPriority w:val="3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06">
    <w:name w:val="List Paragraph Char"/>
    <w:link w:val="105"/>
    <w:qFormat/>
    <w:uiPriority w:val="34"/>
    <w:rPr>
      <w:rFonts w:ascii="Times New Roman" w:hAnsi="Times New Roman" w:eastAsiaTheme="minorEastAsia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408</Words>
  <Characters>2153</Characters>
  <Lines>56</Lines>
  <Paragraphs>44</Paragraphs>
  <TotalTime>2</TotalTime>
  <ScaleCrop>false</ScaleCrop>
  <LinksUpToDate>false</LinksUpToDate>
  <CharactersWithSpaces>2517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2025-08-13T19:54:00Z</dcterms:created>
  <dc:creator>Michael Sanders, John M Meredith</dc:creator>
  <cp:lastModifiedBy>JY</cp:lastModifiedBy>
  <dcterms:modified xsi:type="dcterms:W3CDTF">2025-08-15T12:34:09Z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2052-12.8.2.21177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  <property fmtid="{D5CDD505-2E9C-101B-9397-08002B2CF9AE}" pid="20" name="GrammarlyDocumentId">
    <vt:lpwstr>9f147452-c257-4b91-b7bd-e4c64ec7698a</vt:lpwstr>
  </property>
</Properties>
</file>